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967" w:rsidRPr="005C7232" w:rsidRDefault="00D10967" w:rsidP="00D10967">
      <w:pPr>
        <w:spacing w:line="360" w:lineRule="auto"/>
        <w:jc w:val="both"/>
        <w:rPr>
          <w:b/>
          <w:sz w:val="24"/>
          <w:szCs w:val="24"/>
          <w:lang w:val="en-US"/>
        </w:rPr>
      </w:pPr>
      <w:r w:rsidRPr="00665B51">
        <w:rPr>
          <w:b/>
          <w:sz w:val="24"/>
          <w:szCs w:val="24"/>
          <w:lang w:val="en-US"/>
        </w:rPr>
        <w:t xml:space="preserve">Supplementary </w:t>
      </w:r>
      <w:r w:rsidRPr="005C7232">
        <w:rPr>
          <w:b/>
          <w:sz w:val="24"/>
          <w:szCs w:val="24"/>
          <w:lang w:val="en-US"/>
        </w:rPr>
        <w:t>Materials</w:t>
      </w:r>
    </w:p>
    <w:p w:rsidR="00D10967" w:rsidRPr="006A0CF5" w:rsidRDefault="00D10967" w:rsidP="00D10967">
      <w:pPr>
        <w:rPr>
          <w:lang w:val="en-US"/>
        </w:rPr>
      </w:pPr>
      <w:bookmarkStart w:id="0" w:name="_GoBack"/>
      <w:r>
        <w:rPr>
          <w:noProof/>
          <w:lang w:eastAsia="nl-NL"/>
        </w:rPr>
        <w:drawing>
          <wp:inline distT="0" distB="0" distL="0" distR="0" wp14:anchorId="20C21490" wp14:editId="509B9C1F">
            <wp:extent cx="6578138" cy="3874227"/>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DGTs.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578996" cy="3874733"/>
                    </a:xfrm>
                    <a:prstGeom prst="rect">
                      <a:avLst/>
                    </a:prstGeom>
                  </pic:spPr>
                </pic:pic>
              </a:graphicData>
            </a:graphic>
          </wp:inline>
        </w:drawing>
      </w:r>
      <w:bookmarkEnd w:id="0"/>
    </w:p>
    <w:p w:rsidR="00D10967" w:rsidRDefault="00D10967" w:rsidP="00D10967">
      <w:pPr>
        <w:rPr>
          <w:lang w:val="en-US"/>
        </w:rPr>
      </w:pPr>
      <w:r>
        <w:rPr>
          <w:b/>
          <w:lang w:val="en-US"/>
        </w:rPr>
        <w:t>S1</w:t>
      </w:r>
      <w:r w:rsidRPr="005F548A">
        <w:rPr>
          <w:lang w:val="en-US"/>
        </w:rPr>
        <w:t xml:space="preserve">. </w:t>
      </w:r>
      <w:r>
        <w:rPr>
          <w:b/>
          <w:lang w:val="en-US"/>
        </w:rPr>
        <w:t xml:space="preserve">Effect of </w:t>
      </w:r>
      <w:proofErr w:type="spellStart"/>
      <w:r>
        <w:rPr>
          <w:b/>
          <w:lang w:val="en-US"/>
        </w:rPr>
        <w:t>terbinafine</w:t>
      </w:r>
      <w:proofErr w:type="spellEnd"/>
      <w:r>
        <w:rPr>
          <w:b/>
          <w:lang w:val="en-US"/>
        </w:rPr>
        <w:t xml:space="preserve"> on GDGT cyclization in </w:t>
      </w:r>
      <w:r w:rsidRPr="002C7D80">
        <w:rPr>
          <w:b/>
          <w:i/>
          <w:lang w:val="en-US"/>
        </w:rPr>
        <w:t>S.</w:t>
      </w:r>
      <w:r>
        <w:rPr>
          <w:b/>
          <w:i/>
          <w:lang w:val="en-US"/>
        </w:rPr>
        <w:t xml:space="preserve"> </w:t>
      </w:r>
      <w:proofErr w:type="spellStart"/>
      <w:r w:rsidRPr="002C7D80">
        <w:rPr>
          <w:b/>
          <w:i/>
          <w:lang w:val="en-US"/>
        </w:rPr>
        <w:t>acidocaldarius</w:t>
      </w:r>
      <w:proofErr w:type="spellEnd"/>
      <w:r>
        <w:rPr>
          <w:b/>
          <w:lang w:val="en-US"/>
        </w:rPr>
        <w:t xml:space="preserve"> : </w:t>
      </w:r>
      <w:r>
        <w:rPr>
          <w:lang w:val="en-US"/>
        </w:rPr>
        <w:t>Normalized peak areas for GDGT 0-8 rings in (A) Exponential phase and (B) stationary phases of growth. Error bars represent standard error of the mean. Dots represent biological replicates.</w:t>
      </w:r>
    </w:p>
    <w:p w:rsidR="00D10967" w:rsidRDefault="00D10967" w:rsidP="00D10967">
      <w:pPr>
        <w:rPr>
          <w:lang w:val="en-US"/>
        </w:rPr>
      </w:pPr>
    </w:p>
    <w:p w:rsidR="00D10967" w:rsidRDefault="00D10967" w:rsidP="00D10967">
      <w:pPr>
        <w:rPr>
          <w:lang w:val="en-US"/>
        </w:rPr>
      </w:pPr>
      <w:r>
        <w:rPr>
          <w:noProof/>
          <w:lang w:eastAsia="nl-NL"/>
        </w:rPr>
        <w:drawing>
          <wp:inline distT="0" distB="0" distL="0" distR="0" wp14:anchorId="7CC139DC" wp14:editId="1BD59CA4">
            <wp:extent cx="5760720" cy="343027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upplementary_100t.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3430270"/>
                    </a:xfrm>
                    <a:prstGeom prst="rect">
                      <a:avLst/>
                    </a:prstGeom>
                  </pic:spPr>
                </pic:pic>
              </a:graphicData>
            </a:graphic>
          </wp:inline>
        </w:drawing>
      </w:r>
    </w:p>
    <w:p w:rsidR="00D10967" w:rsidRDefault="00D10967" w:rsidP="00D10967">
      <w:pPr>
        <w:rPr>
          <w:lang w:val="en-US"/>
        </w:rPr>
      </w:pPr>
      <w:r w:rsidRPr="00274F40">
        <w:rPr>
          <w:b/>
          <w:lang w:val="en-US"/>
        </w:rPr>
        <w:lastRenderedPageBreak/>
        <w:t>S</w:t>
      </w:r>
      <w:r>
        <w:rPr>
          <w:b/>
          <w:lang w:val="en-US"/>
        </w:rPr>
        <w:t>2</w:t>
      </w:r>
      <w:r w:rsidRPr="005F548A">
        <w:rPr>
          <w:lang w:val="en-US"/>
        </w:rPr>
        <w:t xml:space="preserve">. </w:t>
      </w:r>
      <w:proofErr w:type="spellStart"/>
      <w:r w:rsidRPr="005F548A">
        <w:rPr>
          <w:b/>
          <w:lang w:val="en-US"/>
        </w:rPr>
        <w:t>arCOG</w:t>
      </w:r>
      <w:proofErr w:type="spellEnd"/>
      <w:r w:rsidRPr="005F548A">
        <w:rPr>
          <w:b/>
          <w:lang w:val="en-US"/>
        </w:rPr>
        <w:t xml:space="preserve"> m</w:t>
      </w:r>
      <w:r>
        <w:rPr>
          <w:b/>
          <w:lang w:val="en-US"/>
        </w:rPr>
        <w:t>apping of significantly affected</w:t>
      </w:r>
      <w:r w:rsidRPr="005F548A">
        <w:rPr>
          <w:b/>
          <w:lang w:val="en-US"/>
        </w:rPr>
        <w:t xml:space="preserve"> genes</w:t>
      </w:r>
      <w:r>
        <w:rPr>
          <w:b/>
          <w:lang w:val="en-US"/>
        </w:rPr>
        <w:t xml:space="preserve"> after growth with 0.31 </w:t>
      </w:r>
      <w:proofErr w:type="spellStart"/>
      <w:r>
        <w:rPr>
          <w:b/>
          <w:lang w:val="en-US"/>
        </w:rPr>
        <w:t>mM</w:t>
      </w:r>
      <w:proofErr w:type="spellEnd"/>
      <w:r>
        <w:rPr>
          <w:b/>
          <w:lang w:val="en-US"/>
        </w:rPr>
        <w:t xml:space="preserve"> </w:t>
      </w:r>
      <w:proofErr w:type="spellStart"/>
      <w:r>
        <w:rPr>
          <w:b/>
          <w:lang w:val="en-US"/>
        </w:rPr>
        <w:t>terbinafine</w:t>
      </w:r>
      <w:proofErr w:type="spellEnd"/>
      <w:r>
        <w:rPr>
          <w:b/>
          <w:lang w:val="en-US"/>
        </w:rPr>
        <w:t xml:space="preserve"> (</w:t>
      </w:r>
      <w:r w:rsidRPr="005F548A">
        <w:rPr>
          <w:b/>
          <w:lang w:val="en-US"/>
        </w:rPr>
        <w:t>p</w:t>
      </w:r>
      <w:r>
        <w:rPr>
          <w:b/>
          <w:lang w:val="en-US"/>
        </w:rPr>
        <w:t xml:space="preserve"> </w:t>
      </w:r>
      <w:r w:rsidRPr="005F548A">
        <w:rPr>
          <w:b/>
          <w:lang w:val="en-US"/>
        </w:rPr>
        <w:t>&lt;</w:t>
      </w:r>
      <w:r>
        <w:rPr>
          <w:b/>
          <w:lang w:val="en-US"/>
        </w:rPr>
        <w:t xml:space="preserve"> </w:t>
      </w:r>
      <w:r w:rsidRPr="005F548A">
        <w:rPr>
          <w:b/>
          <w:lang w:val="en-US"/>
        </w:rPr>
        <w:t>0.05)</w:t>
      </w:r>
      <w:r>
        <w:rPr>
          <w:b/>
          <w:lang w:val="en-US"/>
        </w:rPr>
        <w:t xml:space="preserve">: </w:t>
      </w:r>
      <w:r>
        <w:rPr>
          <w:lang w:val="en-US"/>
        </w:rPr>
        <w:t xml:space="preserve">Density plot illustrates the distribution of log2 fold changes for the five genes affected by </w:t>
      </w:r>
      <w:proofErr w:type="spellStart"/>
      <w:r>
        <w:rPr>
          <w:lang w:val="en-US"/>
        </w:rPr>
        <w:t>terbinafine</w:t>
      </w:r>
      <w:proofErr w:type="spellEnd"/>
      <w:r>
        <w:rPr>
          <w:lang w:val="en-US"/>
        </w:rPr>
        <w:t xml:space="preserve"> after three hours of growth</w:t>
      </w:r>
    </w:p>
    <w:p w:rsidR="00D10967" w:rsidRDefault="00D10967" w:rsidP="00D10967">
      <w:pPr>
        <w:rPr>
          <w:lang w:val="en-US"/>
        </w:rPr>
      </w:pPr>
    </w:p>
    <w:p w:rsidR="00D10967" w:rsidRPr="00230A81" w:rsidRDefault="00D10967" w:rsidP="00D10967">
      <w:pPr>
        <w:rPr>
          <w:lang w:val="en-US"/>
        </w:rPr>
      </w:pPr>
    </w:p>
    <w:p w:rsidR="00D10967" w:rsidRDefault="00D10967" w:rsidP="00D10967">
      <w:pPr>
        <w:rPr>
          <w:lang w:val="en-US"/>
        </w:rPr>
      </w:pPr>
      <w:r>
        <w:rPr>
          <w:noProof/>
          <w:lang w:eastAsia="nl-NL"/>
        </w:rPr>
        <w:drawing>
          <wp:inline distT="0" distB="0" distL="0" distR="0" wp14:anchorId="6CE712D2" wp14:editId="77C9FAEC">
            <wp:extent cx="6636289" cy="2338648"/>
            <wp:effectExtent l="0" t="0" r="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attyacid.png"/>
                    <pic:cNvPicPr/>
                  </pic:nvPicPr>
                  <pic:blipFill>
                    <a:blip r:embed="rId6">
                      <a:extLst>
                        <a:ext uri="{28A0092B-C50C-407E-A947-70E740481C1C}">
                          <a14:useLocalDpi xmlns:a14="http://schemas.microsoft.com/office/drawing/2010/main" val="0"/>
                        </a:ext>
                      </a:extLst>
                    </a:blip>
                    <a:stretch>
                      <a:fillRect/>
                    </a:stretch>
                  </pic:blipFill>
                  <pic:spPr>
                    <a:xfrm>
                      <a:off x="0" y="0"/>
                      <a:ext cx="6656668" cy="2345830"/>
                    </a:xfrm>
                    <a:prstGeom prst="rect">
                      <a:avLst/>
                    </a:prstGeom>
                  </pic:spPr>
                </pic:pic>
              </a:graphicData>
            </a:graphic>
          </wp:inline>
        </w:drawing>
      </w:r>
    </w:p>
    <w:p w:rsidR="00D10967" w:rsidRPr="00667549" w:rsidRDefault="00D10967" w:rsidP="00D10967">
      <w:pPr>
        <w:rPr>
          <w:lang w:val="en-US"/>
        </w:rPr>
      </w:pPr>
    </w:p>
    <w:p w:rsidR="00D10967" w:rsidRDefault="00D10967" w:rsidP="00D10967">
      <w:pPr>
        <w:rPr>
          <w:lang w:val="en-US"/>
        </w:rPr>
      </w:pPr>
      <w:r>
        <w:rPr>
          <w:b/>
          <w:lang w:val="en-US"/>
        </w:rPr>
        <w:t>S3</w:t>
      </w:r>
      <w:r w:rsidRPr="005F548A">
        <w:rPr>
          <w:lang w:val="en-US"/>
        </w:rPr>
        <w:t xml:space="preserve">. </w:t>
      </w:r>
      <w:r>
        <w:rPr>
          <w:b/>
          <w:lang w:val="en-US"/>
        </w:rPr>
        <w:t xml:space="preserve">Effect of </w:t>
      </w:r>
      <w:proofErr w:type="spellStart"/>
      <w:r>
        <w:rPr>
          <w:b/>
          <w:lang w:val="en-US"/>
        </w:rPr>
        <w:t>terbinafine</w:t>
      </w:r>
      <w:proofErr w:type="spellEnd"/>
      <w:r>
        <w:rPr>
          <w:b/>
          <w:lang w:val="en-US"/>
        </w:rPr>
        <w:t xml:space="preserve"> on the proposed fatty acid metabolism cluster in </w:t>
      </w:r>
      <w:proofErr w:type="spellStart"/>
      <w:r w:rsidRPr="00DE52EC">
        <w:rPr>
          <w:b/>
          <w:i/>
          <w:lang w:val="en-US"/>
        </w:rPr>
        <w:t>S.acidocaldarius</w:t>
      </w:r>
      <w:proofErr w:type="spellEnd"/>
      <w:r>
        <w:rPr>
          <w:b/>
          <w:lang w:val="en-US"/>
        </w:rPr>
        <w:t xml:space="preserve"> (p &lt;0.05) : </w:t>
      </w:r>
      <w:r>
        <w:rPr>
          <w:lang w:val="en-US"/>
        </w:rPr>
        <w:t xml:space="preserve">The proposed catabolic fatty acid metabolism/lipase gene cluster in </w:t>
      </w:r>
      <w:proofErr w:type="spellStart"/>
      <w:r w:rsidRPr="007934C6">
        <w:rPr>
          <w:i/>
          <w:lang w:val="en-US"/>
        </w:rPr>
        <w:t>S.acidocaldarius</w:t>
      </w:r>
      <w:proofErr w:type="spellEnd"/>
      <w:r>
        <w:rPr>
          <w:lang w:val="en-US"/>
        </w:rPr>
        <w:t xml:space="preserve"> is based on genomic annotations and predictions. Violet/orange arrows indicate upregulated and downregulated genes respectively, numbers correspond to log2 fold change values. Unaffected genes are colored grey. This scheme has been adapted from </w:t>
      </w:r>
      <w:r>
        <w:rPr>
          <w:lang w:val="en-US"/>
        </w:rPr>
        <w:fldChar w:fldCharType="begin" w:fldLock="1"/>
      </w:r>
      <w:r>
        <w:rPr>
          <w:lang w:val="en-US"/>
        </w:rPr>
        <w:instrText>ADDIN CSL_CITATION {"citationItems":[{"id":"ITEM-1","itemData":{"DOI":"10.1038/s41467-019-09479-1","ISSN":"2041-1723","PMID":"30948713","abstract":"Fatty acid metabolism and its regulation are known to play important roles in bacteria and eukaryotes. By contrast, although certain archaea appear to metabolize fatty acids, the regulation of the underlying pathways in these organisms remains unclear. Here, we show that a TetR-family transcriptional regulator (FadRSa) is involved in regulation of fatty acid metabolism in the crenarchaeon Sulfolobus acidocaldarius. Functional and structural analyses show that FadRSa binds to DNA at semi-palindromic recognition sites in two distinct stoichiometric binding modes depending on the operator sequence. Genome-wide transcriptomic and chromatin immunoprecipitation analyses demonstrate that the protein binds to only four genomic sites, acting as a repressor of a 30-kb gene cluster comprising 23 open reading frames encoding lipases and β-oxidation enzymes. Fatty acyl-CoA molecules cause dissociation of FadRSa binding by inducing conformational changes in the protein. Our results indicate that, despite its similarity in overall structure to bacterial TetR-family FadR regulators, FadRSa displays a different acyl-CoA binding mode and a distinct regulatory mechanism. Certain archaea appear to metabolize fatty acids, but the regulation of these pathways is unclear. Here, Wang et al. provide genetic, functional and structural evidence supporting that a TetR-family transcriptional regulator is involved in regulation of fatty acid metabolism in Sulfolobus acidocaldarius.","author":[{"dropping-particle":"","family":"Wang","given":"Kun","non-dropping-particle":"","parse-names":false,"suffix":""},{"dropping-particle":"","family":"Sybers","given":"David","non-dropping-particle":"","parse-names":false,"suffix":""},{"dropping-particle":"","family":"Maklad","given":"Hassan Ramadan","non-dropping-particle":"","parse-names":false,"suffix":""},{"dropping-particle":"","family":"Lemmens","given":"Liesbeth","non-dropping-particle":"","parse-names":false,"suffix":""},{"dropping-particle":"","family":"Lewyllie","given":"Charlotte","non-dropping-particle":"","parse-names":false,"suffix":""},{"dropping-particle":"","family":"Zhou","given":"Xiaoxiao","non-dropping-particle":"","parse-names":false,"suffix":""},{"dropping-particle":"","family":"Schult","given":"Frank","non-dropping-particle":"","parse-names":false,"suffix":""},{"dropping-particle":"","family":"Bräsen","given":"Christopher","non-dropping-particle":"","parse-names":false,"suffix":""},{"dropping-particle":"","family":"Siebers","given":"Bettina","non-dropping-particle":"","parse-names":false,"suffix":""},{"dropping-particle":"","family":"Valegård","given":"Karin","non-dropping-particle":"","parse-names":false,"suffix":""},{"dropping-particle":"","family":"Lindås","given":"Ann Christin","non-dropping-particle":"","parse-names":false,"suffix":""},{"dropping-particle":"","family":"Peeters","given":"Eveline","non-dropping-particle":"","parse-names":false,"suffix":""}],"container-title":"Nature Communications 2019 10:1","id":"ITEM-1","issue":"1","issued":{"date-parts":[["2019","4","4"]]},"page":"1-16","publisher":"Nature Publishing Group","title":"A TetR-family transcription factor regulates fatty acid metabolism in the archaeal model organism Sulfolobus acidocaldarius","type":"article-journal","volume":"10"},"uris":["http://www.mendeley.com/documents/?uuid=6e5a2d1f-d6d1-36f3-8ddd-f5972e982350"]}],"mendeley":{"formattedCitation":"(Wang et al., 2019)","plainTextFormattedCitation":"(Wang et al., 2019)"},"properties":{"noteIndex":0},"schema":"https://github.com/citation-style-language/schema/raw/master/csl-citation.json"}</w:instrText>
      </w:r>
      <w:r>
        <w:rPr>
          <w:lang w:val="en-US"/>
        </w:rPr>
        <w:fldChar w:fldCharType="separate"/>
      </w:r>
      <w:r w:rsidRPr="00031A5F">
        <w:rPr>
          <w:noProof/>
          <w:lang w:val="en-US"/>
        </w:rPr>
        <w:t>(Wang et al., 2019)</w:t>
      </w:r>
      <w:r>
        <w:rPr>
          <w:lang w:val="en-US"/>
        </w:rPr>
        <w:fldChar w:fldCharType="end"/>
      </w:r>
      <w:r>
        <w:rPr>
          <w:lang w:val="en-US"/>
        </w:rPr>
        <w:t>.</w:t>
      </w:r>
    </w:p>
    <w:p w:rsidR="00D10967" w:rsidRDefault="00D10967" w:rsidP="00D10967">
      <w:pPr>
        <w:rPr>
          <w:lang w:val="en-US"/>
        </w:rPr>
      </w:pPr>
    </w:p>
    <w:p w:rsidR="00D10967" w:rsidRPr="000A7688" w:rsidRDefault="00D10967" w:rsidP="00D10967">
      <w:pPr>
        <w:jc w:val="center"/>
        <w:rPr>
          <w:noProof/>
          <w:lang w:eastAsia="nl-NL"/>
        </w:rPr>
      </w:pPr>
      <w:r>
        <w:rPr>
          <w:noProof/>
          <w:lang w:eastAsia="nl-NL"/>
        </w:rPr>
        <w:drawing>
          <wp:inline distT="0" distB="0" distL="0" distR="0" wp14:anchorId="1AAC1AA9" wp14:editId="578780A9">
            <wp:extent cx="3833699" cy="2447925"/>
            <wp:effectExtent l="0" t="0" r="0" b="0"/>
            <wp:docPr id="7" name="Picture 7" descr="archaellum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chaellum_new"/>
                    <pic:cNvPicPr>
                      <a:picLocks noChangeAspect="1" noChangeArrowheads="1"/>
                    </pic:cNvPicPr>
                  </pic:nvPicPr>
                  <pic:blipFill>
                    <a:blip r:embed="rId7" cstate="print">
                      <a:extLst>
                        <a:ext uri="{28A0092B-C50C-407E-A947-70E740481C1C}">
                          <a14:useLocalDpi xmlns:a14="http://schemas.microsoft.com/office/drawing/2010/main" val="0"/>
                        </a:ext>
                      </a:extLst>
                    </a:blip>
                    <a:srcRect l="11900" t="4167" b="16898"/>
                    <a:stretch>
                      <a:fillRect/>
                    </a:stretch>
                  </pic:blipFill>
                  <pic:spPr bwMode="auto">
                    <a:xfrm>
                      <a:off x="0" y="0"/>
                      <a:ext cx="3836348" cy="2449617"/>
                    </a:xfrm>
                    <a:prstGeom prst="rect">
                      <a:avLst/>
                    </a:prstGeom>
                    <a:noFill/>
                    <a:ln>
                      <a:noFill/>
                    </a:ln>
                  </pic:spPr>
                </pic:pic>
              </a:graphicData>
            </a:graphic>
          </wp:inline>
        </w:drawing>
      </w:r>
    </w:p>
    <w:p w:rsidR="00D10967" w:rsidRPr="00EC4055" w:rsidRDefault="00D10967" w:rsidP="00D10967">
      <w:pPr>
        <w:rPr>
          <w:lang w:val="en-US"/>
        </w:rPr>
      </w:pPr>
      <w:r w:rsidRPr="00CA4321">
        <w:rPr>
          <w:b/>
          <w:lang w:val="en-US"/>
        </w:rPr>
        <w:t xml:space="preserve">S4 . Effect of </w:t>
      </w:r>
      <w:proofErr w:type="spellStart"/>
      <w:r w:rsidRPr="00CA4321">
        <w:rPr>
          <w:b/>
          <w:lang w:val="en-US"/>
        </w:rPr>
        <w:t>terbinafine</w:t>
      </w:r>
      <w:proofErr w:type="spellEnd"/>
      <w:r w:rsidRPr="00CA4321">
        <w:rPr>
          <w:b/>
          <w:lang w:val="en-US"/>
        </w:rPr>
        <w:t xml:space="preserve"> on the </w:t>
      </w:r>
      <w:proofErr w:type="spellStart"/>
      <w:r w:rsidRPr="00CA4321">
        <w:rPr>
          <w:b/>
          <w:lang w:val="en-US"/>
        </w:rPr>
        <w:t>archaellum</w:t>
      </w:r>
      <w:proofErr w:type="spellEnd"/>
      <w:r w:rsidRPr="00CA4321">
        <w:rPr>
          <w:b/>
          <w:lang w:val="en-US"/>
        </w:rPr>
        <w:t xml:space="preserve"> </w:t>
      </w:r>
      <w:r>
        <w:rPr>
          <w:b/>
          <w:lang w:val="en-US"/>
        </w:rPr>
        <w:t>(p &lt; 0.05)</w:t>
      </w:r>
      <w:r>
        <w:rPr>
          <w:lang w:val="en-US"/>
        </w:rPr>
        <w:t>: Colors represent log2fold change values in the diagram. No color signifies unaltered transcript levels.</w:t>
      </w:r>
    </w:p>
    <w:p w:rsidR="00E57EAA" w:rsidRDefault="00D10967"/>
    <w:sectPr w:rsidR="00E57E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967"/>
    <w:rsid w:val="0047429C"/>
    <w:rsid w:val="00B4639B"/>
    <w:rsid w:val="00D109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C4691A-1384-4ED3-A97A-9456BF55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9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4148</Characters>
  <Application>Microsoft Office Word</Application>
  <DocSecurity>0</DocSecurity>
  <Lines>34</Lines>
  <Paragraphs>9</Paragraphs>
  <ScaleCrop>false</ScaleCrop>
  <Company>University of Groningen</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Rao</dc:creator>
  <cp:keywords/>
  <dc:description/>
  <cp:lastModifiedBy>A. Rao</cp:lastModifiedBy>
  <cp:revision>1</cp:revision>
  <dcterms:created xsi:type="dcterms:W3CDTF">2022-11-16T14:00:00Z</dcterms:created>
  <dcterms:modified xsi:type="dcterms:W3CDTF">2022-11-16T14:00:00Z</dcterms:modified>
</cp:coreProperties>
</file>